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AF486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AF4862">
        <w:rPr>
          <w:rFonts w:ascii="Arial" w:hAnsi="Arial" w:cs="Arial"/>
          <w:b/>
          <w:sz w:val="20"/>
          <w:szCs w:val="20"/>
        </w:rPr>
        <w:t>Explanation for the retrospective adjustments in the consolidated financial statements of 2019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F4862">
        <w:rPr>
          <w:rFonts w:ascii="Arial" w:hAnsi="Arial" w:cs="Arial"/>
          <w:sz w:val="20"/>
          <w:szCs w:val="20"/>
        </w:rPr>
        <w:t>14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4862" w:rsidRPr="00AF4862">
        <w:rPr>
          <w:rFonts w:ascii="Arial" w:hAnsi="Arial" w:cs="Arial"/>
          <w:sz w:val="20"/>
          <w:szCs w:val="20"/>
        </w:rPr>
        <w:t>SongDa</w:t>
      </w:r>
      <w:proofErr w:type="spellEnd"/>
      <w:r w:rsidR="00AF4862" w:rsidRPr="00AF4862">
        <w:rPr>
          <w:rFonts w:ascii="Arial" w:hAnsi="Arial" w:cs="Arial"/>
          <w:sz w:val="20"/>
          <w:szCs w:val="20"/>
        </w:rPr>
        <w:t xml:space="preserve"> Investment and Trading Joint Stock Company</w:t>
      </w:r>
      <w:r w:rsidR="00AF4862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AF4862">
        <w:rPr>
          <w:rFonts w:ascii="Arial" w:hAnsi="Arial" w:cs="Arial"/>
          <w:sz w:val="20"/>
          <w:szCs w:val="20"/>
        </w:rPr>
        <w:t xml:space="preserve"> </w:t>
      </w:r>
      <w:r w:rsidR="00AF4862" w:rsidRPr="00AF4862">
        <w:rPr>
          <w:rFonts w:ascii="Arial" w:hAnsi="Arial" w:cs="Arial"/>
          <w:sz w:val="20"/>
          <w:szCs w:val="20"/>
        </w:rPr>
        <w:t>the retrospective adjustments in the consolidated financial statements of 2019</w:t>
      </w:r>
      <w:r w:rsidR="00AF4862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AF4862" w:rsidRDefault="00AF4862" w:rsidP="00AF4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486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ursuant to Official Letter No. 71/2020/ CV</w:t>
      </w:r>
      <w:r w:rsidRPr="00AF4862">
        <w:rPr>
          <w:rFonts w:ascii="Arial" w:hAnsi="Arial" w:cs="Arial"/>
          <w:sz w:val="20"/>
          <w:szCs w:val="20"/>
        </w:rPr>
        <w:t xml:space="preserve">/ SD of April 9, 2020 of Song Da Investment and Trading and Investment Joint Stock Company on the correction of figures </w:t>
      </w:r>
      <w:r>
        <w:rPr>
          <w:rFonts w:ascii="Arial" w:hAnsi="Arial" w:cs="Arial"/>
          <w:sz w:val="20"/>
          <w:szCs w:val="20"/>
        </w:rPr>
        <w:t xml:space="preserve">in </w:t>
      </w:r>
      <w:r w:rsidRPr="00AF4862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c</w:t>
      </w:r>
      <w:r w:rsidRPr="00AF4862">
        <w:rPr>
          <w:rFonts w:ascii="Arial" w:hAnsi="Arial" w:cs="Arial"/>
          <w:sz w:val="20"/>
          <w:szCs w:val="20"/>
        </w:rPr>
        <w:t>onsolidated financial statements for the fiscal year ended on December 3</w:t>
      </w:r>
      <w:bookmarkStart w:id="0" w:name="_GoBack"/>
      <w:bookmarkEnd w:id="0"/>
      <w:r w:rsidRPr="00AF4862">
        <w:rPr>
          <w:rFonts w:ascii="Arial" w:hAnsi="Arial" w:cs="Arial"/>
          <w:sz w:val="20"/>
          <w:szCs w:val="20"/>
        </w:rPr>
        <w:t>1, 2019 (certified by AFC Vietnam Auditing Compa</w:t>
      </w:r>
      <w:r>
        <w:rPr>
          <w:rFonts w:ascii="Arial" w:hAnsi="Arial" w:cs="Arial"/>
          <w:sz w:val="20"/>
          <w:szCs w:val="20"/>
        </w:rPr>
        <w:t>ny Limited - Northern Branch), so</w:t>
      </w:r>
      <w:r w:rsidRPr="00AF4862">
        <w:rPr>
          <w:rFonts w:ascii="Arial" w:hAnsi="Arial" w:cs="Arial"/>
          <w:sz w:val="20"/>
          <w:szCs w:val="20"/>
        </w:rPr>
        <w:t xml:space="preserve"> Song Da Investment and Trading Joint Stock Company would like to change the announced information about ret</w:t>
      </w:r>
      <w:r>
        <w:rPr>
          <w:rFonts w:ascii="Arial" w:hAnsi="Arial" w:cs="Arial"/>
          <w:sz w:val="20"/>
          <w:szCs w:val="20"/>
        </w:rPr>
        <w:t>rospective adjustment results for</w:t>
      </w:r>
      <w:r w:rsidRPr="00AF4862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</w:t>
      </w:r>
      <w:r w:rsidRPr="00AF4862">
        <w:rPr>
          <w:rFonts w:ascii="Arial" w:hAnsi="Arial" w:cs="Arial"/>
          <w:sz w:val="20"/>
          <w:szCs w:val="20"/>
        </w:rPr>
        <w:t xml:space="preserve">onsolidated </w:t>
      </w:r>
      <w:r>
        <w:rPr>
          <w:rFonts w:ascii="Arial" w:hAnsi="Arial" w:cs="Arial"/>
          <w:sz w:val="20"/>
          <w:szCs w:val="20"/>
        </w:rPr>
        <w:t>financial statements</w:t>
      </w:r>
      <w:r w:rsidRPr="00AF4862">
        <w:rPr>
          <w:rFonts w:ascii="Arial" w:hAnsi="Arial" w:cs="Arial"/>
          <w:sz w:val="20"/>
          <w:szCs w:val="20"/>
        </w:rPr>
        <w:t xml:space="preserve"> for 2018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1"/>
        <w:gridCol w:w="695"/>
        <w:gridCol w:w="2070"/>
        <w:gridCol w:w="1800"/>
        <w:gridCol w:w="1818"/>
      </w:tblGrid>
      <w:tr w:rsidR="00AF4862" w:rsidTr="00AF4862">
        <w:tc>
          <w:tcPr>
            <w:tcW w:w="472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1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695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70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on</w:t>
            </w:r>
            <w:r w:rsidRPr="00AF4862">
              <w:rPr>
                <w:rFonts w:ascii="Arial" w:hAnsi="Arial" w:cs="Arial"/>
                <w:sz w:val="20"/>
                <w:szCs w:val="20"/>
              </w:rPr>
              <w:t xml:space="preserve"> 31 December 2018  </w:t>
            </w:r>
          </w:p>
        </w:tc>
        <w:tc>
          <w:tcPr>
            <w:tcW w:w="1800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F4862">
              <w:rPr>
                <w:rFonts w:ascii="Arial" w:hAnsi="Arial" w:cs="Arial"/>
                <w:sz w:val="20"/>
                <w:szCs w:val="20"/>
              </w:rPr>
              <w:t>estated</w:t>
            </w:r>
            <w:r w:rsidRPr="00AF48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F4862">
              <w:rPr>
                <w:rFonts w:ascii="Arial" w:hAnsi="Arial" w:cs="Arial"/>
                <w:sz w:val="20"/>
                <w:szCs w:val="20"/>
              </w:rPr>
              <w:t xml:space="preserve">umber </w:t>
            </w:r>
          </w:p>
        </w:tc>
        <w:tc>
          <w:tcPr>
            <w:tcW w:w="1818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AF4862" w:rsidTr="00AF4862">
        <w:tc>
          <w:tcPr>
            <w:tcW w:w="472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Balance sheet</w:t>
            </w:r>
          </w:p>
        </w:tc>
        <w:tc>
          <w:tcPr>
            <w:tcW w:w="695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862" w:rsidTr="00AF4862">
        <w:tc>
          <w:tcPr>
            <w:tcW w:w="472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Other short-term payables</w:t>
            </w:r>
          </w:p>
        </w:tc>
        <w:tc>
          <w:tcPr>
            <w:tcW w:w="695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070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8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265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195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1800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18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159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665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818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9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894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469</w:t>
            </w:r>
            <w:r w:rsidR="001B0921"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  <w:tr w:rsidR="00AF4862" w:rsidTr="00AF4862">
        <w:tc>
          <w:tcPr>
            <w:tcW w:w="472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AF4862" w:rsidRDefault="00AF4862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 xml:space="preserve">Accumulated </w:t>
            </w:r>
            <w:r>
              <w:rPr>
                <w:rFonts w:ascii="Arial" w:hAnsi="Arial" w:cs="Arial"/>
                <w:sz w:val="20"/>
                <w:szCs w:val="20"/>
              </w:rPr>
              <w:t xml:space="preserve">retained </w:t>
            </w:r>
            <w:r w:rsidR="001B0921">
              <w:rPr>
                <w:rFonts w:ascii="Arial" w:hAnsi="Arial" w:cs="Arial"/>
                <w:sz w:val="20"/>
                <w:szCs w:val="20"/>
              </w:rPr>
              <w:t>after-tax profit until</w:t>
            </w:r>
            <w:r w:rsidRPr="00AF4862">
              <w:rPr>
                <w:rFonts w:ascii="Arial" w:hAnsi="Arial" w:cs="Arial"/>
                <w:sz w:val="20"/>
                <w:szCs w:val="20"/>
              </w:rPr>
              <w:t xml:space="preserve"> the end of the</w:t>
            </w:r>
            <w:r w:rsidR="001B0921">
              <w:rPr>
                <w:rFonts w:ascii="Arial" w:hAnsi="Arial" w:cs="Arial"/>
                <w:sz w:val="20"/>
                <w:szCs w:val="20"/>
              </w:rPr>
              <w:t xml:space="preserve"> previous</w:t>
            </w:r>
            <w:r w:rsidRPr="00AF4862">
              <w:rPr>
                <w:rFonts w:ascii="Arial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695" w:type="dxa"/>
          </w:tcPr>
          <w:p w:rsid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421a</w:t>
            </w:r>
          </w:p>
        </w:tc>
        <w:tc>
          <w:tcPr>
            <w:tcW w:w="2070" w:type="dxa"/>
          </w:tcPr>
          <w:p w:rsid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188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684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800" w:type="dxa"/>
          </w:tcPr>
          <w:p w:rsid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294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818" w:type="dxa"/>
          </w:tcPr>
          <w:p w:rsid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894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469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824)</w:t>
            </w:r>
          </w:p>
        </w:tc>
      </w:tr>
      <w:tr w:rsidR="001B0921" w:rsidTr="00AF4862">
        <w:tc>
          <w:tcPr>
            <w:tcW w:w="472" w:type="dxa"/>
          </w:tcPr>
          <w:p w:rsidR="001B0921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statement</w:t>
            </w:r>
          </w:p>
        </w:tc>
        <w:tc>
          <w:tcPr>
            <w:tcW w:w="695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21" w:rsidTr="00AF4862">
        <w:tc>
          <w:tcPr>
            <w:tcW w:w="472" w:type="dxa"/>
          </w:tcPr>
          <w:p w:rsidR="001B0921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1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Deferred corporate income tax expense</w:t>
            </w:r>
          </w:p>
        </w:tc>
        <w:tc>
          <w:tcPr>
            <w:tcW w:w="695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70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862">
              <w:rPr>
                <w:rFonts w:ascii="Arial" w:hAnsi="Arial" w:cs="Arial"/>
                <w:sz w:val="20"/>
                <w:szCs w:val="20"/>
              </w:rPr>
              <w:t>(545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185)</w:t>
            </w:r>
          </w:p>
        </w:tc>
        <w:tc>
          <w:tcPr>
            <w:tcW w:w="1800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4862">
              <w:rPr>
                <w:rFonts w:ascii="Arial" w:hAnsi="Arial" w:cs="Arial"/>
                <w:sz w:val="20"/>
                <w:szCs w:val="20"/>
              </w:rPr>
              <w:t>(545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862">
              <w:rPr>
                <w:rFonts w:ascii="Arial" w:hAnsi="Arial" w:cs="Arial"/>
                <w:sz w:val="20"/>
                <w:szCs w:val="20"/>
              </w:rPr>
              <w:t>186)</w:t>
            </w:r>
          </w:p>
        </w:tc>
        <w:tc>
          <w:tcPr>
            <w:tcW w:w="1818" w:type="dxa"/>
          </w:tcPr>
          <w:p w:rsidR="001B0921" w:rsidRPr="00AF4862" w:rsidRDefault="001B0921" w:rsidP="00AF4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:rsidR="001B0921" w:rsidRDefault="001B0921" w:rsidP="00AF4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0921" w:rsidRDefault="001B0921" w:rsidP="00AF4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0921">
        <w:rPr>
          <w:rFonts w:ascii="Arial" w:hAnsi="Arial" w:cs="Arial"/>
          <w:sz w:val="20"/>
          <w:szCs w:val="20"/>
        </w:rPr>
        <w:t>Reason f</w:t>
      </w:r>
      <w:r>
        <w:rPr>
          <w:rFonts w:ascii="Arial" w:hAnsi="Arial" w:cs="Arial"/>
          <w:sz w:val="20"/>
          <w:szCs w:val="20"/>
        </w:rPr>
        <w:t>or change in</w:t>
      </w:r>
      <w:r w:rsidRPr="001B0921">
        <w:rPr>
          <w:rFonts w:ascii="Arial" w:hAnsi="Arial" w:cs="Arial"/>
          <w:sz w:val="20"/>
          <w:szCs w:val="20"/>
        </w:rPr>
        <w:t xml:space="preserve"> the published information: Song Da Investment and Trading Joint Stock Company submitted the audited consolidated financial statements for the fiscal </w:t>
      </w:r>
      <w:r>
        <w:rPr>
          <w:rFonts w:ascii="Arial" w:hAnsi="Arial" w:cs="Arial"/>
          <w:sz w:val="20"/>
          <w:szCs w:val="20"/>
        </w:rPr>
        <w:t>year ended on December 31, 2019 No. 122/2020</w:t>
      </w:r>
      <w:r w:rsidRPr="001B0921">
        <w:rPr>
          <w:rFonts w:ascii="Arial" w:hAnsi="Arial" w:cs="Arial"/>
          <w:sz w:val="20"/>
          <w:szCs w:val="20"/>
        </w:rPr>
        <w:t>/BCKT</w:t>
      </w:r>
      <w:r>
        <w:rPr>
          <w:rFonts w:ascii="Arial" w:hAnsi="Arial" w:cs="Arial"/>
          <w:sz w:val="20"/>
          <w:szCs w:val="20"/>
        </w:rPr>
        <w:t>.HN - PB.</w:t>
      </w:r>
      <w:r w:rsidRPr="001B0921">
        <w:rPr>
          <w:rFonts w:ascii="Arial" w:hAnsi="Arial" w:cs="Arial"/>
          <w:sz w:val="20"/>
          <w:szCs w:val="20"/>
        </w:rPr>
        <w:t>00360</w:t>
      </w:r>
      <w:r>
        <w:rPr>
          <w:rFonts w:ascii="Arial" w:hAnsi="Arial" w:cs="Arial"/>
          <w:sz w:val="20"/>
          <w:szCs w:val="20"/>
        </w:rPr>
        <w:t xml:space="preserve"> dated April 6, 2020. </w:t>
      </w:r>
      <w:r w:rsidRPr="001B0921">
        <w:rPr>
          <w:rFonts w:ascii="Arial" w:hAnsi="Arial" w:cs="Arial"/>
          <w:sz w:val="20"/>
          <w:szCs w:val="20"/>
        </w:rPr>
        <w:t>However, because the Company found errors in the presentation of the "Deferred corpo</w:t>
      </w:r>
      <w:r>
        <w:rPr>
          <w:rFonts w:ascii="Arial" w:hAnsi="Arial" w:cs="Arial"/>
          <w:sz w:val="20"/>
          <w:szCs w:val="20"/>
        </w:rPr>
        <w:t>rate income tax" in section 8.</w:t>
      </w:r>
      <w:r w:rsidRPr="001B0921">
        <w:rPr>
          <w:rFonts w:ascii="Arial" w:hAnsi="Arial" w:cs="Arial"/>
          <w:sz w:val="20"/>
          <w:szCs w:val="20"/>
        </w:rPr>
        <w:t>2 "Comparativ</w:t>
      </w:r>
      <w:r>
        <w:rPr>
          <w:rFonts w:ascii="Arial" w:hAnsi="Arial" w:cs="Arial"/>
          <w:sz w:val="20"/>
          <w:szCs w:val="20"/>
        </w:rPr>
        <w:t>e figures" in the Notes to the c</w:t>
      </w:r>
      <w:r w:rsidRPr="001B0921">
        <w:rPr>
          <w:rFonts w:ascii="Arial" w:hAnsi="Arial" w:cs="Arial"/>
          <w:sz w:val="20"/>
          <w:szCs w:val="20"/>
        </w:rPr>
        <w:t xml:space="preserve">onsolidated </w:t>
      </w:r>
      <w:r>
        <w:rPr>
          <w:rFonts w:ascii="Arial" w:hAnsi="Arial" w:cs="Arial"/>
          <w:sz w:val="20"/>
          <w:szCs w:val="20"/>
        </w:rPr>
        <w:t xml:space="preserve">financial statements, some </w:t>
      </w:r>
      <w:r w:rsidRPr="001B0921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>s</w:t>
      </w:r>
      <w:r w:rsidRPr="001B0921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Pr="001B0921">
        <w:rPr>
          <w:rFonts w:ascii="Arial" w:hAnsi="Arial" w:cs="Arial"/>
          <w:sz w:val="20"/>
          <w:szCs w:val="20"/>
        </w:rPr>
        <w:t>published information</w:t>
      </w:r>
      <w:r>
        <w:rPr>
          <w:rFonts w:ascii="Arial" w:hAnsi="Arial" w:cs="Arial"/>
          <w:sz w:val="20"/>
          <w:szCs w:val="20"/>
        </w:rPr>
        <w:t xml:space="preserve"> must be</w:t>
      </w:r>
      <w:r w:rsidRPr="001B0921">
        <w:rPr>
          <w:rFonts w:ascii="Arial" w:hAnsi="Arial" w:cs="Arial"/>
          <w:sz w:val="20"/>
          <w:szCs w:val="20"/>
        </w:rPr>
        <w:t xml:space="preserve"> </w:t>
      </w:r>
      <w:r w:rsidRPr="001B0921"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z w:val="20"/>
          <w:szCs w:val="20"/>
        </w:rPr>
        <w:t>d</w:t>
      </w:r>
    </w:p>
    <w:p w:rsidR="009B0ECA" w:rsidRDefault="001B0921" w:rsidP="00AF4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0921">
        <w:rPr>
          <w:rFonts w:ascii="Arial" w:hAnsi="Arial" w:cs="Arial"/>
          <w:sz w:val="20"/>
          <w:szCs w:val="20"/>
        </w:rPr>
        <w:t xml:space="preserve">- Consolidated financial statements for the </w:t>
      </w:r>
      <w:r>
        <w:rPr>
          <w:rFonts w:ascii="Arial" w:hAnsi="Arial" w:cs="Arial"/>
          <w:sz w:val="20"/>
          <w:szCs w:val="20"/>
        </w:rPr>
        <w:t xml:space="preserve">fiscal </w:t>
      </w:r>
      <w:r w:rsidRPr="001B0921">
        <w:rPr>
          <w:rFonts w:ascii="Arial" w:hAnsi="Arial" w:cs="Arial"/>
          <w:sz w:val="20"/>
          <w:szCs w:val="20"/>
        </w:rPr>
        <w:t xml:space="preserve">year ended </w:t>
      </w:r>
      <w:r>
        <w:rPr>
          <w:rFonts w:ascii="Arial" w:hAnsi="Arial" w:cs="Arial"/>
          <w:sz w:val="20"/>
          <w:szCs w:val="20"/>
        </w:rPr>
        <w:t xml:space="preserve">on </w:t>
      </w:r>
      <w:r w:rsidRPr="001B0921">
        <w:rPr>
          <w:rFonts w:ascii="Arial" w:hAnsi="Arial" w:cs="Arial"/>
          <w:sz w:val="20"/>
          <w:szCs w:val="20"/>
        </w:rPr>
        <w:t xml:space="preserve">31 December 2019 of Song </w:t>
      </w:r>
      <w:proofErr w:type="gramStart"/>
      <w:r w:rsidRPr="001B0921">
        <w:rPr>
          <w:rFonts w:ascii="Arial" w:hAnsi="Arial" w:cs="Arial"/>
          <w:sz w:val="20"/>
          <w:szCs w:val="20"/>
        </w:rPr>
        <w:t>Da</w:t>
      </w:r>
      <w:proofErr w:type="gramEnd"/>
      <w:r w:rsidRPr="001B0921">
        <w:rPr>
          <w:rFonts w:ascii="Arial" w:hAnsi="Arial" w:cs="Arial"/>
          <w:sz w:val="20"/>
          <w:szCs w:val="20"/>
        </w:rPr>
        <w:t xml:space="preserve"> Investment and Trading Joint Stock Company audited by AFC Vietnam Auditin</w:t>
      </w:r>
      <w:r>
        <w:rPr>
          <w:rFonts w:ascii="Arial" w:hAnsi="Arial" w:cs="Arial"/>
          <w:sz w:val="20"/>
          <w:szCs w:val="20"/>
        </w:rPr>
        <w:t>g Co., Ltd - Northern Branch (</w:t>
      </w:r>
      <w:r w:rsidRPr="001B0921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closed with Official Letter No.71/2020/CV/</w:t>
      </w:r>
      <w:r w:rsidRPr="001B0921">
        <w:rPr>
          <w:rFonts w:ascii="Arial" w:hAnsi="Arial" w:cs="Arial"/>
          <w:sz w:val="20"/>
          <w:szCs w:val="20"/>
        </w:rPr>
        <w:t xml:space="preserve">SD dated April 9, 2020) </w:t>
      </w:r>
      <w:r>
        <w:rPr>
          <w:rFonts w:ascii="Arial" w:hAnsi="Arial" w:cs="Arial"/>
          <w:sz w:val="20"/>
          <w:szCs w:val="20"/>
        </w:rPr>
        <w:t xml:space="preserve">were </w:t>
      </w:r>
      <w:r w:rsidRPr="001B0921">
        <w:rPr>
          <w:rFonts w:ascii="Arial" w:hAnsi="Arial" w:cs="Arial"/>
          <w:sz w:val="20"/>
          <w:szCs w:val="20"/>
        </w:rPr>
        <w:t>sent to the State Securities Commission, Hanoi Stock Exchange and published on the website of the Company</w:t>
      </w:r>
      <w:r>
        <w:rPr>
          <w:rFonts w:ascii="Arial" w:hAnsi="Arial" w:cs="Arial"/>
          <w:sz w:val="20"/>
          <w:szCs w:val="20"/>
        </w:rPr>
        <w:t>: http://www.sodic.com.</w:t>
      </w:r>
      <w:r w:rsidRPr="001B0921">
        <w:rPr>
          <w:rFonts w:ascii="Arial" w:hAnsi="Arial" w:cs="Arial"/>
          <w:sz w:val="20"/>
          <w:szCs w:val="20"/>
        </w:rPr>
        <w:t>v</w:t>
      </w:r>
      <w:r w:rsidR="009B0ECA">
        <w:rPr>
          <w:rFonts w:ascii="Arial" w:hAnsi="Arial" w:cs="Arial"/>
          <w:sz w:val="20"/>
          <w:szCs w:val="20"/>
        </w:rPr>
        <w:t>n according to the regulations</w:t>
      </w:r>
    </w:p>
    <w:p w:rsidR="00AF4862" w:rsidRPr="00AF4862" w:rsidRDefault="001B0921" w:rsidP="00AF4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0921">
        <w:rPr>
          <w:rFonts w:ascii="Arial" w:hAnsi="Arial" w:cs="Arial"/>
          <w:sz w:val="20"/>
          <w:szCs w:val="20"/>
        </w:rPr>
        <w:t xml:space="preserve">The above information was published by Song </w:t>
      </w:r>
      <w:proofErr w:type="gramStart"/>
      <w:r w:rsidRPr="001B0921">
        <w:rPr>
          <w:rFonts w:ascii="Arial" w:hAnsi="Arial" w:cs="Arial"/>
          <w:sz w:val="20"/>
          <w:szCs w:val="20"/>
        </w:rPr>
        <w:t>Da</w:t>
      </w:r>
      <w:proofErr w:type="gramEnd"/>
      <w:r w:rsidRPr="001B0921">
        <w:rPr>
          <w:rFonts w:ascii="Arial" w:hAnsi="Arial" w:cs="Arial"/>
          <w:sz w:val="20"/>
          <w:szCs w:val="20"/>
        </w:rPr>
        <w:t xml:space="preserve"> Investment and Trading Joint Stock Company on its website on April 14, 2020 </w:t>
      </w:r>
    </w:p>
    <w:sectPr w:rsidR="00AF4862" w:rsidRPr="00AF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B0921"/>
    <w:rsid w:val="001B2DAC"/>
    <w:rsid w:val="00204DDC"/>
    <w:rsid w:val="0024099C"/>
    <w:rsid w:val="00244C92"/>
    <w:rsid w:val="00256DF0"/>
    <w:rsid w:val="0026711C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A7E66"/>
    <w:rsid w:val="004B0E3B"/>
    <w:rsid w:val="004C7900"/>
    <w:rsid w:val="005B0276"/>
    <w:rsid w:val="005E7D00"/>
    <w:rsid w:val="00695103"/>
    <w:rsid w:val="006E13A2"/>
    <w:rsid w:val="006E3B6D"/>
    <w:rsid w:val="00701F46"/>
    <w:rsid w:val="007028B7"/>
    <w:rsid w:val="00740A0C"/>
    <w:rsid w:val="00745D9A"/>
    <w:rsid w:val="00795EA8"/>
    <w:rsid w:val="007D449B"/>
    <w:rsid w:val="007F7DB7"/>
    <w:rsid w:val="008078B6"/>
    <w:rsid w:val="0084703C"/>
    <w:rsid w:val="0088081B"/>
    <w:rsid w:val="008854CF"/>
    <w:rsid w:val="00887C3A"/>
    <w:rsid w:val="008D5C54"/>
    <w:rsid w:val="00981C95"/>
    <w:rsid w:val="009B0ECA"/>
    <w:rsid w:val="00A62855"/>
    <w:rsid w:val="00A81EB3"/>
    <w:rsid w:val="00AA01BA"/>
    <w:rsid w:val="00AF4862"/>
    <w:rsid w:val="00AF67BE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E11EBD"/>
    <w:rsid w:val="00E154B3"/>
    <w:rsid w:val="00E36A48"/>
    <w:rsid w:val="00ED31AF"/>
    <w:rsid w:val="00EF7457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F9A4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77</cp:revision>
  <dcterms:created xsi:type="dcterms:W3CDTF">2019-10-16T10:03:00Z</dcterms:created>
  <dcterms:modified xsi:type="dcterms:W3CDTF">2020-04-15T14:45:00Z</dcterms:modified>
</cp:coreProperties>
</file>